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2201251</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6" w14:textId="21860D82" w:rsidR="00E13C27" w:rsidRDefault="008F6665" w:rsidP="00930EFE">
      <w:pPr>
        <w:pStyle w:val="David"/>
        <w:ind w:left="3544"/>
        <w:rPr>
          <w:b/>
          <w:bCs/>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מרב מיכאלי</w:t>
      </w:r>
      <w:bookmarkEnd w:id="3"/>
    </w:p>
    <w:p w14:paraId="7F6961AA" w14:textId="206D9889" w:rsidR="00E13C27" w:rsidRPr="00CF1AA2" w:rsidRDefault="007D585A" w:rsidP="0036422C">
      <w:pPr>
        <w:pStyle w:val="David"/>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66B517D4" w:rsidR="00E13C27" w:rsidRPr="00E06736" w:rsidRDefault="00904591" w:rsidP="00904591">
      <w:pPr>
        <w:pStyle w:val="David"/>
        <w:spacing w:line="240" w:lineRule="auto"/>
        <w:ind w:left="3544"/>
        <w:rPr>
          <w:rtl/>
        </w:rPr>
      </w:pPr>
      <w:r>
        <w:t xml:space="preserve">                                            </w:t>
      </w:r>
      <w:r w:rsidR="008F1308">
        <w:t xml:space="preserve"> </w:t>
      </w:r>
      <w:bookmarkStart w:id="6" w:name="Private_Number"/>
      <w:r w:rsidR="004D6740">
        <w:rPr>
          <w:rtl/>
        </w:rPr>
        <w:tab/>
      </w:r>
      <w:r>
        <w:rPr>
          <w:rFonts w:hint="cs"/>
          <w:rtl/>
        </w:rPr>
        <w:t>פ/2470/25</w:t>
      </w:r>
      <w:bookmarkEnd w:id="6"/>
    </w:p>
    <w:p w14:paraId="7F6961AC" w14:textId="77777777" w:rsidR="00E13C27" w:rsidRDefault="00E13C27" w:rsidP="00E13C27">
      <w:pPr>
        <w:ind w:left="2880" w:firstLine="720"/>
        <w:rPr>
          <w:sz w:val="26"/>
          <w:szCs w:val="26"/>
          <w:rtl/>
        </w:rPr>
      </w:pPr>
    </w:p>
    <w:p w14:paraId="7F6961AE" w14:textId="0809CB8D" w:rsidR="00E13C27" w:rsidRDefault="00A443CF" w:rsidP="00C1670A">
      <w:pPr>
        <w:pStyle w:val="HeadHatzaotHok"/>
        <w:rPr>
          <w:rtl/>
        </w:rPr>
      </w:pPr>
      <w:bookmarkStart w:id="7" w:name="LGS_Subject"/>
      <w:r>
        <w:rPr>
          <w:rFonts w:hint="cs"/>
          <w:rtl/>
        </w:rPr>
        <w:t>הצעת חוק זכויות נפגעי עבירה (תיקון – הרחבת זכויות נפגעי עבירות מין למידע על הליכים משפטיים), התשפ"ג–2023</w:t>
      </w:r>
      <w:bookmarkEnd w:id="7"/>
    </w:p>
    <w:tbl>
      <w:tblPr>
        <w:bidiVisual/>
        <w:tblW w:w="9637" w:type="dxa"/>
        <w:tblLayout w:type="fixed"/>
        <w:tblCellMar>
          <w:top w:w="57" w:type="dxa"/>
          <w:left w:w="0" w:type="dxa"/>
          <w:bottom w:w="57" w:type="dxa"/>
          <w:right w:w="0" w:type="dxa"/>
        </w:tblCellMar>
        <w:tblLook w:val="01E0" w:firstRow="1" w:lastRow="1" w:firstColumn="1" w:lastColumn="1" w:noHBand="0" w:noVBand="0"/>
      </w:tblPr>
      <w:tblGrid>
        <w:gridCol w:w="1870"/>
        <w:gridCol w:w="624"/>
        <w:gridCol w:w="624"/>
        <w:gridCol w:w="6519"/>
      </w:tblGrid>
      <w:tr w:rsidR="00B42432" w:rsidRPr="00AD12C0" w14:paraId="6D7D9380" w14:textId="77777777" w:rsidTr="004D6740">
        <w:trPr>
          <w:cantSplit/>
        </w:trPr>
        <w:tc>
          <w:tcPr>
            <w:tcW w:w="1870" w:type="dxa"/>
          </w:tcPr>
          <w:p w14:paraId="703F9B28" w14:textId="77777777" w:rsidR="00B42432" w:rsidRPr="00C14F2F" w:rsidRDefault="00B42432" w:rsidP="00662F7C">
            <w:pPr>
              <w:pStyle w:val="TableSideHeading"/>
              <w:rPr>
                <w:rtl/>
              </w:rPr>
            </w:pPr>
            <w:r>
              <w:rPr>
                <w:rFonts w:hint="cs"/>
                <w:rtl/>
              </w:rPr>
              <w:t>תיקון סעיף 17</w:t>
            </w:r>
          </w:p>
        </w:tc>
        <w:tc>
          <w:tcPr>
            <w:tcW w:w="624" w:type="dxa"/>
          </w:tcPr>
          <w:p w14:paraId="53305334" w14:textId="77777777" w:rsidR="00B42432" w:rsidRPr="00C14F2F" w:rsidRDefault="00B42432" w:rsidP="00662F7C">
            <w:pPr>
              <w:pStyle w:val="TableText"/>
            </w:pPr>
            <w:r>
              <w:rPr>
                <w:rFonts w:hint="cs"/>
                <w:rtl/>
              </w:rPr>
              <w:t>1.</w:t>
            </w:r>
          </w:p>
        </w:tc>
        <w:tc>
          <w:tcPr>
            <w:tcW w:w="7143" w:type="dxa"/>
            <w:gridSpan w:val="2"/>
          </w:tcPr>
          <w:p w14:paraId="7FF4CD86" w14:textId="77777777" w:rsidR="00B42432" w:rsidRDefault="00B42432" w:rsidP="004D6740">
            <w:pPr>
              <w:pStyle w:val="TableBlock"/>
              <w:rPr>
                <w:rtl/>
              </w:rPr>
            </w:pPr>
            <w:r>
              <w:rPr>
                <w:rFonts w:hint="cs"/>
                <w:rtl/>
              </w:rPr>
              <w:t>בחוק זכויות נפגעי עבירה, התשס"א–2001</w:t>
            </w:r>
            <w:r w:rsidRPr="004D6740">
              <w:rPr>
                <w:rStyle w:val="a6"/>
                <w:rFonts w:ascii="David" w:hAnsi="David"/>
                <w:sz w:val="26"/>
                <w:rtl/>
              </w:rPr>
              <w:footnoteReference w:id="2"/>
            </w:r>
            <w:r>
              <w:rPr>
                <w:rFonts w:hint="cs"/>
                <w:rtl/>
              </w:rPr>
              <w:t>, (להלן – החוק העיקרי), בסעיף 17 –</w:t>
            </w:r>
          </w:p>
        </w:tc>
      </w:tr>
      <w:tr w:rsidR="00B42432" w14:paraId="4B29352D" w14:textId="77777777" w:rsidTr="004D6740">
        <w:trPr>
          <w:cantSplit/>
        </w:trPr>
        <w:tc>
          <w:tcPr>
            <w:tcW w:w="1870" w:type="dxa"/>
          </w:tcPr>
          <w:p w14:paraId="05907F3A" w14:textId="77777777" w:rsidR="00B42432" w:rsidRDefault="00B42432" w:rsidP="00662F7C">
            <w:pPr>
              <w:pStyle w:val="TableSideHeading"/>
            </w:pPr>
          </w:p>
        </w:tc>
        <w:tc>
          <w:tcPr>
            <w:tcW w:w="624" w:type="dxa"/>
          </w:tcPr>
          <w:p w14:paraId="136D92F0" w14:textId="77777777" w:rsidR="00B42432" w:rsidRDefault="00B42432" w:rsidP="00662F7C">
            <w:pPr>
              <w:pStyle w:val="TableText"/>
            </w:pPr>
          </w:p>
        </w:tc>
        <w:tc>
          <w:tcPr>
            <w:tcW w:w="7143" w:type="dxa"/>
            <w:gridSpan w:val="2"/>
          </w:tcPr>
          <w:p w14:paraId="6DAAC3DF" w14:textId="77777777" w:rsidR="00B42432" w:rsidRPr="00DA410E" w:rsidRDefault="00B42432" w:rsidP="004D6740">
            <w:pPr>
              <w:pStyle w:val="TableBlock"/>
            </w:pPr>
            <w:r w:rsidRPr="00DA410E">
              <w:rPr>
                <w:rFonts w:hint="cs"/>
                <w:rtl/>
              </w:rPr>
              <w:t>(1)</w:t>
            </w:r>
            <w:r w:rsidRPr="00DA410E">
              <w:rPr>
                <w:rtl/>
              </w:rPr>
              <w:tab/>
            </w:r>
            <w:r w:rsidRPr="00DA410E">
              <w:rPr>
                <w:rFonts w:hint="cs"/>
                <w:rtl/>
              </w:rPr>
              <w:t>בכותרת הסעיף אחרי "הסדר לסגירת תיק" יבוא "או החלטה על חזרה מכתב אישום";</w:t>
            </w:r>
          </w:p>
        </w:tc>
      </w:tr>
      <w:tr w:rsidR="00B42432" w14:paraId="23016C9A" w14:textId="77777777" w:rsidTr="004D6740">
        <w:trPr>
          <w:cantSplit/>
        </w:trPr>
        <w:tc>
          <w:tcPr>
            <w:tcW w:w="1870" w:type="dxa"/>
          </w:tcPr>
          <w:p w14:paraId="06E9E03C" w14:textId="77777777" w:rsidR="00B42432" w:rsidRDefault="00B42432" w:rsidP="00662F7C">
            <w:pPr>
              <w:pStyle w:val="TableSideHeading"/>
            </w:pPr>
          </w:p>
        </w:tc>
        <w:tc>
          <w:tcPr>
            <w:tcW w:w="624" w:type="dxa"/>
          </w:tcPr>
          <w:p w14:paraId="554C0BF4" w14:textId="77777777" w:rsidR="00B42432" w:rsidRDefault="00B42432" w:rsidP="00662F7C">
            <w:pPr>
              <w:pStyle w:val="TableText"/>
            </w:pPr>
          </w:p>
        </w:tc>
        <w:tc>
          <w:tcPr>
            <w:tcW w:w="7143" w:type="dxa"/>
            <w:gridSpan w:val="2"/>
          </w:tcPr>
          <w:p w14:paraId="61736548" w14:textId="77777777" w:rsidR="00B42432" w:rsidRPr="00DA410E" w:rsidRDefault="00B42432" w:rsidP="004D6740">
            <w:pPr>
              <w:pStyle w:val="TableBlock"/>
              <w:rPr>
                <w:rtl/>
              </w:rPr>
            </w:pPr>
            <w:r w:rsidRPr="00DA410E">
              <w:rPr>
                <w:rFonts w:hint="cs"/>
                <w:rtl/>
              </w:rPr>
              <w:t>(2)</w:t>
            </w:r>
            <w:r w:rsidRPr="00DA410E">
              <w:rPr>
                <w:rtl/>
              </w:rPr>
              <w:tab/>
            </w:r>
            <w:r w:rsidRPr="00DA410E">
              <w:rPr>
                <w:rFonts w:hint="cs"/>
                <w:rtl/>
              </w:rPr>
              <w:t>בסעיף קטן (א), אחרי "לסגירת תיק המתגבש עם החשוד" יבוא "או לפני החלטה על חזרה מכתב אישום";</w:t>
            </w:r>
          </w:p>
        </w:tc>
      </w:tr>
      <w:tr w:rsidR="00B42432" w14:paraId="6CE64D1D" w14:textId="77777777" w:rsidTr="004D6740">
        <w:trPr>
          <w:cantSplit/>
        </w:trPr>
        <w:tc>
          <w:tcPr>
            <w:tcW w:w="1870" w:type="dxa"/>
          </w:tcPr>
          <w:p w14:paraId="08B00393" w14:textId="77777777" w:rsidR="00B42432" w:rsidRDefault="00B42432" w:rsidP="00662F7C">
            <w:pPr>
              <w:pStyle w:val="TableSideHeading"/>
            </w:pPr>
          </w:p>
        </w:tc>
        <w:tc>
          <w:tcPr>
            <w:tcW w:w="624" w:type="dxa"/>
          </w:tcPr>
          <w:p w14:paraId="6385D7A5" w14:textId="77777777" w:rsidR="00B42432" w:rsidRDefault="00B42432" w:rsidP="00662F7C">
            <w:pPr>
              <w:pStyle w:val="TableText"/>
            </w:pPr>
          </w:p>
        </w:tc>
        <w:tc>
          <w:tcPr>
            <w:tcW w:w="7143" w:type="dxa"/>
            <w:gridSpan w:val="2"/>
          </w:tcPr>
          <w:p w14:paraId="20AECC74" w14:textId="77777777" w:rsidR="00B42432" w:rsidRPr="00DA410E" w:rsidRDefault="00B42432" w:rsidP="004D6740">
            <w:pPr>
              <w:pStyle w:val="TableBlock"/>
              <w:rPr>
                <w:rtl/>
              </w:rPr>
            </w:pPr>
            <w:r w:rsidRPr="00DA410E">
              <w:rPr>
                <w:rFonts w:hint="cs"/>
                <w:rtl/>
              </w:rPr>
              <w:t>(3)</w:t>
            </w:r>
            <w:r w:rsidRPr="00DA410E">
              <w:rPr>
                <w:rtl/>
              </w:rPr>
              <w:tab/>
            </w:r>
            <w:r w:rsidRPr="00DA410E">
              <w:rPr>
                <w:rFonts w:hint="cs"/>
                <w:rtl/>
              </w:rPr>
              <w:t>בסעיף קטן (ב), אחרי "לסגירת תיק המתגבש עם החשוד" יבוא "או על החלטה על חזרה מכתב אישום";</w:t>
            </w:r>
          </w:p>
        </w:tc>
      </w:tr>
      <w:tr w:rsidR="00B42432" w14:paraId="67D48D00" w14:textId="77777777" w:rsidTr="004D6740">
        <w:trPr>
          <w:cantSplit/>
        </w:trPr>
        <w:tc>
          <w:tcPr>
            <w:tcW w:w="1870" w:type="dxa"/>
          </w:tcPr>
          <w:p w14:paraId="5A293C9B" w14:textId="77777777" w:rsidR="00B42432" w:rsidRDefault="00B42432" w:rsidP="00662F7C">
            <w:pPr>
              <w:pStyle w:val="TableSideHeading"/>
            </w:pPr>
          </w:p>
        </w:tc>
        <w:tc>
          <w:tcPr>
            <w:tcW w:w="624" w:type="dxa"/>
          </w:tcPr>
          <w:p w14:paraId="7B06F5E0" w14:textId="77777777" w:rsidR="00B42432" w:rsidRDefault="00B42432" w:rsidP="00662F7C">
            <w:pPr>
              <w:pStyle w:val="TableText"/>
            </w:pPr>
          </w:p>
        </w:tc>
        <w:tc>
          <w:tcPr>
            <w:tcW w:w="7143" w:type="dxa"/>
            <w:gridSpan w:val="2"/>
          </w:tcPr>
          <w:p w14:paraId="55137DF9" w14:textId="77777777" w:rsidR="00B42432" w:rsidRPr="00DA410E" w:rsidRDefault="00B42432" w:rsidP="004D6740">
            <w:pPr>
              <w:pStyle w:val="TableBlock"/>
              <w:rPr>
                <w:rtl/>
              </w:rPr>
            </w:pPr>
            <w:r w:rsidRPr="00DA410E">
              <w:rPr>
                <w:rFonts w:hint="cs"/>
                <w:rtl/>
              </w:rPr>
              <w:t>(4)</w:t>
            </w:r>
            <w:r w:rsidRPr="00DA410E">
              <w:rPr>
                <w:rtl/>
              </w:rPr>
              <w:tab/>
            </w:r>
            <w:r w:rsidRPr="00DA410E">
              <w:rPr>
                <w:rFonts w:hint="cs"/>
                <w:rtl/>
              </w:rPr>
              <w:t>בסעיף קטן (ג), אחרי "לסגירת תיק המתגבש עם החשוד" יבוא "או על החלטה על חזרה מכתב אישום";</w:t>
            </w:r>
          </w:p>
        </w:tc>
      </w:tr>
      <w:tr w:rsidR="00B42432" w14:paraId="6EDD78BF" w14:textId="77777777" w:rsidTr="004D6740">
        <w:trPr>
          <w:cantSplit/>
        </w:trPr>
        <w:tc>
          <w:tcPr>
            <w:tcW w:w="1870" w:type="dxa"/>
          </w:tcPr>
          <w:p w14:paraId="60322725" w14:textId="77777777" w:rsidR="00B42432" w:rsidRDefault="00B42432" w:rsidP="00662F7C">
            <w:pPr>
              <w:pStyle w:val="TableSideHeading"/>
            </w:pPr>
          </w:p>
        </w:tc>
        <w:tc>
          <w:tcPr>
            <w:tcW w:w="624" w:type="dxa"/>
          </w:tcPr>
          <w:p w14:paraId="7F1490BA" w14:textId="77777777" w:rsidR="00B42432" w:rsidRDefault="00B42432" w:rsidP="00662F7C">
            <w:pPr>
              <w:pStyle w:val="TableText"/>
            </w:pPr>
          </w:p>
        </w:tc>
        <w:tc>
          <w:tcPr>
            <w:tcW w:w="7143" w:type="dxa"/>
            <w:gridSpan w:val="2"/>
          </w:tcPr>
          <w:p w14:paraId="53012B0D" w14:textId="77777777" w:rsidR="00B42432" w:rsidRPr="00DA410E" w:rsidRDefault="00B42432" w:rsidP="004D6740">
            <w:pPr>
              <w:pStyle w:val="TableBlock"/>
              <w:rPr>
                <w:rtl/>
              </w:rPr>
            </w:pPr>
            <w:r w:rsidRPr="00DA410E">
              <w:rPr>
                <w:rFonts w:hint="cs"/>
                <w:rtl/>
              </w:rPr>
              <w:t>(5)</w:t>
            </w:r>
            <w:r w:rsidRPr="00DA410E">
              <w:rPr>
                <w:rtl/>
              </w:rPr>
              <w:tab/>
            </w:r>
            <w:r w:rsidRPr="00DA410E">
              <w:rPr>
                <w:rFonts w:hint="cs"/>
                <w:rtl/>
              </w:rPr>
              <w:t>בסעיף קטן (ד) אחרי "הסדר טיעון שאליו הגיע עם הנאשם" יבוא "או מודיע על חזרה מכתב אישום", ואחרי "הסדר טיעון המוצג לפניו" יבוא "או האם הובהרה לו כוונת התביעה לחזור בה מכתב האישום".</w:t>
            </w:r>
          </w:p>
        </w:tc>
      </w:tr>
      <w:tr w:rsidR="00B42432" w14:paraId="5E80F3FC" w14:textId="77777777" w:rsidTr="004D6740">
        <w:trPr>
          <w:cantSplit/>
        </w:trPr>
        <w:tc>
          <w:tcPr>
            <w:tcW w:w="1870" w:type="dxa"/>
          </w:tcPr>
          <w:p w14:paraId="416E2E39" w14:textId="77777777" w:rsidR="00B42432" w:rsidRDefault="00B42432" w:rsidP="00662F7C">
            <w:pPr>
              <w:pStyle w:val="TableSideHeading"/>
            </w:pPr>
            <w:r>
              <w:rPr>
                <w:rFonts w:hint="cs"/>
                <w:rtl/>
              </w:rPr>
              <w:t>תיקון התוספת השנייה</w:t>
            </w:r>
          </w:p>
        </w:tc>
        <w:tc>
          <w:tcPr>
            <w:tcW w:w="624" w:type="dxa"/>
          </w:tcPr>
          <w:p w14:paraId="3AF01DD8" w14:textId="77777777" w:rsidR="00B42432" w:rsidRDefault="00B42432" w:rsidP="00662F7C">
            <w:pPr>
              <w:pStyle w:val="TableText"/>
            </w:pPr>
            <w:r>
              <w:rPr>
                <w:rFonts w:hint="cs"/>
                <w:rtl/>
              </w:rPr>
              <w:t>2.</w:t>
            </w:r>
          </w:p>
        </w:tc>
        <w:tc>
          <w:tcPr>
            <w:tcW w:w="7143" w:type="dxa"/>
            <w:gridSpan w:val="2"/>
          </w:tcPr>
          <w:p w14:paraId="28B5B8D8" w14:textId="77777777" w:rsidR="00B42432" w:rsidRPr="00C34DE2" w:rsidRDefault="00B42432" w:rsidP="004D6740">
            <w:pPr>
              <w:pStyle w:val="TableBlock"/>
            </w:pPr>
            <w:r>
              <w:rPr>
                <w:rFonts w:hint="cs"/>
                <w:rtl/>
              </w:rPr>
              <w:t>בחוק העיקרי, בתוספת השנייה, אחרי פרט 4, יבוא:</w:t>
            </w:r>
          </w:p>
        </w:tc>
      </w:tr>
      <w:tr w:rsidR="00B42432" w14:paraId="052466B8" w14:textId="77777777" w:rsidTr="004D6740">
        <w:trPr>
          <w:cantSplit/>
        </w:trPr>
        <w:tc>
          <w:tcPr>
            <w:tcW w:w="1870" w:type="dxa"/>
          </w:tcPr>
          <w:p w14:paraId="141CE942" w14:textId="77777777" w:rsidR="00B42432" w:rsidRDefault="00B42432" w:rsidP="00662F7C">
            <w:pPr>
              <w:pStyle w:val="TableSideHeading"/>
              <w:keepLines w:val="0"/>
            </w:pPr>
          </w:p>
        </w:tc>
        <w:tc>
          <w:tcPr>
            <w:tcW w:w="624" w:type="dxa"/>
          </w:tcPr>
          <w:p w14:paraId="342D533B" w14:textId="77777777" w:rsidR="00B42432" w:rsidRDefault="00B42432" w:rsidP="00662F7C">
            <w:pPr>
              <w:pStyle w:val="TableText"/>
              <w:keepLines w:val="0"/>
            </w:pPr>
          </w:p>
        </w:tc>
        <w:tc>
          <w:tcPr>
            <w:tcW w:w="7143" w:type="dxa"/>
            <w:gridSpan w:val="2"/>
          </w:tcPr>
          <w:p w14:paraId="49DED87F" w14:textId="77777777" w:rsidR="00B42432" w:rsidRPr="004D6740" w:rsidRDefault="00B42432" w:rsidP="004D6740">
            <w:pPr>
              <w:pStyle w:val="TableBlock"/>
            </w:pPr>
            <w:r w:rsidRPr="004D6740">
              <w:rPr>
                <w:rFonts w:hint="cs"/>
                <w:rtl/>
              </w:rPr>
              <w:t>"4א.</w:t>
            </w:r>
            <w:r w:rsidRPr="004D6740">
              <w:rPr>
                <w:rtl/>
              </w:rPr>
              <w:tab/>
            </w:r>
            <w:r w:rsidRPr="004D6740">
              <w:rPr>
                <w:rFonts w:hint="cs"/>
                <w:rtl/>
              </w:rPr>
              <w:t>החלטה על הגשת ערר על מעצר או על שחרור ממעצר של החשוד או הנאשם, לפי העניין".</w:t>
            </w:r>
          </w:p>
        </w:tc>
      </w:tr>
      <w:tr w:rsidR="00B42432" w14:paraId="06445EAF" w14:textId="77777777" w:rsidTr="004D6740">
        <w:trPr>
          <w:cantSplit/>
        </w:trPr>
        <w:tc>
          <w:tcPr>
            <w:tcW w:w="1870" w:type="dxa"/>
          </w:tcPr>
          <w:p w14:paraId="60854781" w14:textId="77777777" w:rsidR="00B42432" w:rsidRDefault="00B42432" w:rsidP="00662F7C">
            <w:pPr>
              <w:pStyle w:val="TableSideHeading"/>
            </w:pPr>
            <w:r>
              <w:rPr>
                <w:rFonts w:hint="cs"/>
                <w:rtl/>
              </w:rPr>
              <w:t>תיקון התוספת השלישית</w:t>
            </w:r>
          </w:p>
        </w:tc>
        <w:tc>
          <w:tcPr>
            <w:tcW w:w="624" w:type="dxa"/>
          </w:tcPr>
          <w:p w14:paraId="74151593" w14:textId="77777777" w:rsidR="00B42432" w:rsidRDefault="00B42432" w:rsidP="00662F7C">
            <w:pPr>
              <w:pStyle w:val="TableText"/>
            </w:pPr>
            <w:r>
              <w:rPr>
                <w:rFonts w:hint="cs"/>
                <w:rtl/>
              </w:rPr>
              <w:t>3.</w:t>
            </w:r>
          </w:p>
        </w:tc>
        <w:tc>
          <w:tcPr>
            <w:tcW w:w="7143" w:type="dxa"/>
            <w:gridSpan w:val="2"/>
          </w:tcPr>
          <w:p w14:paraId="67E98FF3" w14:textId="77777777" w:rsidR="00B42432" w:rsidRPr="00D8295F" w:rsidRDefault="00B42432" w:rsidP="004D6740">
            <w:pPr>
              <w:pStyle w:val="TableBlock"/>
            </w:pPr>
            <w:r>
              <w:rPr>
                <w:rFonts w:hint="cs"/>
                <w:rtl/>
              </w:rPr>
              <w:t>בחוק העיקרי, בתוספת השלישית, בפרט 3, אחרי "סדר הדין הפלילי" יבוא "כוונה לחזור מכתב אישום לפי הוראות סעיף 93 לחוק סדר הדין הפלילי".</w:t>
            </w:r>
          </w:p>
        </w:tc>
      </w:tr>
      <w:tr w:rsidR="00B42432" w14:paraId="1EAE9306" w14:textId="77777777" w:rsidTr="004D6740">
        <w:trPr>
          <w:cantSplit/>
        </w:trPr>
        <w:tc>
          <w:tcPr>
            <w:tcW w:w="1870" w:type="dxa"/>
          </w:tcPr>
          <w:p w14:paraId="07F1074A" w14:textId="77777777" w:rsidR="00B42432" w:rsidRDefault="00B42432" w:rsidP="00662F7C">
            <w:pPr>
              <w:pStyle w:val="TableSideHeading"/>
            </w:pPr>
            <w:r>
              <w:rPr>
                <w:rFonts w:hint="cs"/>
                <w:rtl/>
              </w:rPr>
              <w:lastRenderedPageBreak/>
              <w:t>תיקון התוספת הרביעית</w:t>
            </w:r>
          </w:p>
        </w:tc>
        <w:tc>
          <w:tcPr>
            <w:tcW w:w="624" w:type="dxa"/>
          </w:tcPr>
          <w:p w14:paraId="44B15FB3" w14:textId="77777777" w:rsidR="00B42432" w:rsidRDefault="00B42432" w:rsidP="00662F7C">
            <w:pPr>
              <w:pStyle w:val="TableText"/>
            </w:pPr>
            <w:r>
              <w:rPr>
                <w:rFonts w:hint="cs"/>
                <w:rtl/>
              </w:rPr>
              <w:t>4.</w:t>
            </w:r>
          </w:p>
        </w:tc>
        <w:tc>
          <w:tcPr>
            <w:tcW w:w="7143" w:type="dxa"/>
            <w:gridSpan w:val="2"/>
          </w:tcPr>
          <w:p w14:paraId="63B12A3F" w14:textId="77777777" w:rsidR="00B42432" w:rsidRPr="00C34DE2" w:rsidRDefault="00B42432" w:rsidP="004D6740">
            <w:pPr>
              <w:pStyle w:val="TableBlock"/>
            </w:pPr>
            <w:r>
              <w:rPr>
                <w:rFonts w:hint="cs"/>
                <w:rtl/>
              </w:rPr>
              <w:t>בחוק העיקרי, בתוספת הרביעית –</w:t>
            </w:r>
          </w:p>
        </w:tc>
      </w:tr>
      <w:tr w:rsidR="00B42432" w14:paraId="787AB38B" w14:textId="77777777" w:rsidTr="004D6740">
        <w:trPr>
          <w:cantSplit/>
        </w:trPr>
        <w:tc>
          <w:tcPr>
            <w:tcW w:w="1870" w:type="dxa"/>
          </w:tcPr>
          <w:p w14:paraId="2A4B0261" w14:textId="77777777" w:rsidR="00B42432" w:rsidRDefault="00B42432" w:rsidP="00662F7C">
            <w:pPr>
              <w:pStyle w:val="TableSideHeading"/>
            </w:pPr>
          </w:p>
        </w:tc>
        <w:tc>
          <w:tcPr>
            <w:tcW w:w="624" w:type="dxa"/>
          </w:tcPr>
          <w:p w14:paraId="1AA71BBB" w14:textId="77777777" w:rsidR="00B42432" w:rsidRDefault="00B42432" w:rsidP="00662F7C">
            <w:pPr>
              <w:pStyle w:val="TableText"/>
            </w:pPr>
          </w:p>
        </w:tc>
        <w:tc>
          <w:tcPr>
            <w:tcW w:w="7143" w:type="dxa"/>
            <w:gridSpan w:val="2"/>
          </w:tcPr>
          <w:p w14:paraId="17DF9C45" w14:textId="77777777" w:rsidR="00B42432" w:rsidRPr="00DA410E" w:rsidRDefault="00B42432" w:rsidP="004D6740">
            <w:pPr>
              <w:pStyle w:val="TableBlock"/>
            </w:pPr>
            <w:r w:rsidRPr="00DA410E">
              <w:rPr>
                <w:rFonts w:hint="cs"/>
                <w:rtl/>
              </w:rPr>
              <w:t>(א)</w:t>
            </w:r>
            <w:r w:rsidRPr="00DA410E">
              <w:rPr>
                <w:rtl/>
              </w:rPr>
              <w:tab/>
            </w:r>
            <w:r w:rsidRPr="00DA410E">
              <w:rPr>
                <w:rFonts w:hint="cs"/>
                <w:rtl/>
              </w:rPr>
              <w:t>בפרט 3, אחרי " לפי הוראות סעיף 19" יבוא "וכן מידע בדבר זכותו להוצאת צו לפי חוק מגבלות על חזרתו של עבריין מין לסביבת נפגע העבירה, התשס"ה–2004</w:t>
            </w:r>
            <w:r w:rsidRPr="004D6740">
              <w:rPr>
                <w:rFonts w:ascii="David" w:hAnsi="David"/>
                <w:sz w:val="26"/>
                <w:vertAlign w:val="superscript"/>
                <w:rtl/>
              </w:rPr>
              <w:footnoteReference w:id="3"/>
            </w:r>
            <w:r w:rsidRPr="00DA410E">
              <w:rPr>
                <w:rFonts w:hint="cs"/>
                <w:rtl/>
              </w:rPr>
              <w:t>, ועל זכאותו לסיוע משפטי בהליך זה, לפי חוק הסיוע המשפטי התשל"ב–1972</w:t>
            </w:r>
            <w:r w:rsidRPr="004D6740">
              <w:rPr>
                <w:rFonts w:ascii="David" w:hAnsi="David"/>
                <w:sz w:val="26"/>
                <w:vertAlign w:val="superscript"/>
                <w:rtl/>
              </w:rPr>
              <w:footnoteReference w:id="4"/>
            </w:r>
            <w:r w:rsidRPr="00DA410E">
              <w:rPr>
                <w:rFonts w:hint="cs"/>
                <w:rtl/>
              </w:rPr>
              <w:t>".</w:t>
            </w:r>
          </w:p>
        </w:tc>
      </w:tr>
      <w:tr w:rsidR="00B42432" w14:paraId="4E407033" w14:textId="77777777" w:rsidTr="004D6740">
        <w:trPr>
          <w:cantSplit/>
        </w:trPr>
        <w:tc>
          <w:tcPr>
            <w:tcW w:w="1870" w:type="dxa"/>
          </w:tcPr>
          <w:p w14:paraId="1646C958" w14:textId="77777777" w:rsidR="00B42432" w:rsidRDefault="00B42432" w:rsidP="00662F7C">
            <w:pPr>
              <w:pStyle w:val="TableSideHeading"/>
            </w:pPr>
          </w:p>
        </w:tc>
        <w:tc>
          <w:tcPr>
            <w:tcW w:w="624" w:type="dxa"/>
          </w:tcPr>
          <w:p w14:paraId="34A6F389" w14:textId="77777777" w:rsidR="00B42432" w:rsidRDefault="00B42432" w:rsidP="00662F7C">
            <w:pPr>
              <w:pStyle w:val="TableText"/>
            </w:pPr>
          </w:p>
        </w:tc>
        <w:tc>
          <w:tcPr>
            <w:tcW w:w="7143" w:type="dxa"/>
            <w:gridSpan w:val="2"/>
          </w:tcPr>
          <w:p w14:paraId="03D99BF3" w14:textId="77777777" w:rsidR="00B42432" w:rsidRPr="00DA410E" w:rsidRDefault="00B42432" w:rsidP="004D6740">
            <w:pPr>
              <w:pStyle w:val="TableBlock"/>
              <w:rPr>
                <w:rtl/>
              </w:rPr>
            </w:pPr>
            <w:r w:rsidRPr="00DA410E">
              <w:rPr>
                <w:rFonts w:hint="cs"/>
                <w:rtl/>
              </w:rPr>
              <w:t>(ב)</w:t>
            </w:r>
            <w:r w:rsidRPr="00DA410E">
              <w:rPr>
                <w:rtl/>
              </w:rPr>
              <w:tab/>
            </w:r>
            <w:r w:rsidRPr="00DA410E">
              <w:rPr>
                <w:rFonts w:hint="cs"/>
                <w:rtl/>
              </w:rPr>
              <w:t>אחרי פרט 9 יבוא –</w:t>
            </w:r>
          </w:p>
        </w:tc>
      </w:tr>
      <w:tr w:rsidR="00B42432" w14:paraId="0D6C6574" w14:textId="77777777" w:rsidTr="004D6740">
        <w:trPr>
          <w:cantSplit/>
        </w:trPr>
        <w:tc>
          <w:tcPr>
            <w:tcW w:w="1870" w:type="dxa"/>
          </w:tcPr>
          <w:p w14:paraId="191D33D7" w14:textId="77777777" w:rsidR="00B42432" w:rsidRDefault="00B42432" w:rsidP="00662F7C">
            <w:pPr>
              <w:pStyle w:val="TableSideHeading"/>
            </w:pPr>
          </w:p>
        </w:tc>
        <w:tc>
          <w:tcPr>
            <w:tcW w:w="624" w:type="dxa"/>
          </w:tcPr>
          <w:p w14:paraId="105A7462" w14:textId="77777777" w:rsidR="00B42432" w:rsidRDefault="00B42432" w:rsidP="00662F7C">
            <w:pPr>
              <w:pStyle w:val="TableText"/>
            </w:pPr>
          </w:p>
        </w:tc>
        <w:tc>
          <w:tcPr>
            <w:tcW w:w="624" w:type="dxa"/>
          </w:tcPr>
          <w:p w14:paraId="792F8CB2" w14:textId="77777777" w:rsidR="00B42432" w:rsidRDefault="00B42432" w:rsidP="00662F7C">
            <w:pPr>
              <w:pStyle w:val="TableText"/>
            </w:pPr>
          </w:p>
        </w:tc>
        <w:tc>
          <w:tcPr>
            <w:tcW w:w="6519" w:type="dxa"/>
          </w:tcPr>
          <w:p w14:paraId="3035723D" w14:textId="77777777" w:rsidR="00B42432" w:rsidRDefault="00B42432" w:rsidP="004D6740">
            <w:pPr>
              <w:pStyle w:val="TableBlock"/>
            </w:pPr>
            <w:r w:rsidRPr="00DA410E">
              <w:rPr>
                <w:rFonts w:hint="cs"/>
                <w:rtl/>
              </w:rPr>
              <w:t>"10.</w:t>
            </w:r>
            <w:r w:rsidRPr="00DA410E">
              <w:rPr>
                <w:rtl/>
              </w:rPr>
              <w:tab/>
            </w:r>
            <w:r w:rsidRPr="00DA410E">
              <w:rPr>
                <w:rFonts w:hint="cs"/>
                <w:rtl/>
              </w:rPr>
              <w:t>יידוע על שחרור של קטין השוהה במעון נעול חלף מאסר, על פי סעיף 25 לחוק הנוער (שפיטה, ענישה ודרכי טיפול), התשל"א–1971</w:t>
            </w:r>
            <w:r w:rsidRPr="004D6740">
              <w:rPr>
                <w:rFonts w:ascii="David" w:hAnsi="David"/>
                <w:sz w:val="26"/>
                <w:vertAlign w:val="superscript"/>
                <w:rtl/>
              </w:rPr>
              <w:footnoteReference w:id="5"/>
            </w:r>
            <w:r w:rsidRPr="00DA410E">
              <w:rPr>
                <w:rFonts w:hint="cs"/>
                <w:rtl/>
              </w:rPr>
              <w:t>.</w:t>
            </w:r>
          </w:p>
        </w:tc>
      </w:tr>
      <w:tr w:rsidR="00B42432" w14:paraId="79835A2F" w14:textId="77777777" w:rsidTr="004D6740">
        <w:trPr>
          <w:cantSplit/>
        </w:trPr>
        <w:tc>
          <w:tcPr>
            <w:tcW w:w="1870" w:type="dxa"/>
          </w:tcPr>
          <w:p w14:paraId="127CDE12" w14:textId="77777777" w:rsidR="00B42432" w:rsidRDefault="00B42432" w:rsidP="00662F7C">
            <w:pPr>
              <w:pStyle w:val="TableSideHeading"/>
              <w:rPr>
                <w:rtl/>
              </w:rPr>
            </w:pPr>
          </w:p>
        </w:tc>
        <w:tc>
          <w:tcPr>
            <w:tcW w:w="624" w:type="dxa"/>
          </w:tcPr>
          <w:p w14:paraId="5B602497" w14:textId="77777777" w:rsidR="00B42432" w:rsidRDefault="00B42432" w:rsidP="00662F7C">
            <w:pPr>
              <w:pStyle w:val="TableText"/>
            </w:pPr>
          </w:p>
        </w:tc>
        <w:tc>
          <w:tcPr>
            <w:tcW w:w="624" w:type="dxa"/>
          </w:tcPr>
          <w:p w14:paraId="12689CB6" w14:textId="77777777" w:rsidR="00B42432" w:rsidRDefault="00B42432" w:rsidP="00662F7C">
            <w:pPr>
              <w:pStyle w:val="TableText"/>
            </w:pPr>
          </w:p>
        </w:tc>
        <w:tc>
          <w:tcPr>
            <w:tcW w:w="6519" w:type="dxa"/>
          </w:tcPr>
          <w:p w14:paraId="52509C27" w14:textId="77777777" w:rsidR="00B42432" w:rsidRDefault="00B42432" w:rsidP="004D6740">
            <w:pPr>
              <w:pStyle w:val="TableBlock"/>
              <w:rPr>
                <w:rtl/>
              </w:rPr>
            </w:pPr>
            <w:bookmarkStart w:id="8" w:name="_GoBack"/>
            <w:bookmarkEnd w:id="8"/>
            <w:r w:rsidRPr="00DA410E">
              <w:rPr>
                <w:rFonts w:hint="cs"/>
                <w:rtl/>
              </w:rPr>
              <w:t>11.</w:t>
            </w:r>
            <w:r w:rsidRPr="00DA410E">
              <w:rPr>
                <w:rtl/>
              </w:rPr>
              <w:tab/>
            </w:r>
            <w:r w:rsidRPr="00DA410E">
              <w:rPr>
                <w:rFonts w:hint="cs"/>
                <w:rtl/>
              </w:rPr>
              <w:t>יידוע על בקשת נאשם מורשע למשפט חוזר, על ההחלטה לקיים משפט חוזר ועל בקשה לקיום דיון נוסף וכל על ההחלטה לקיים דיון נוסף".</w:t>
            </w:r>
          </w:p>
        </w:tc>
      </w:tr>
    </w:tbl>
    <w:p w14:paraId="7F6961CA" w14:textId="77777777" w:rsidR="002D1EE3" w:rsidRDefault="002D1EE3" w:rsidP="002D1EE3">
      <w:pPr>
        <w:pStyle w:val="HeadDivreiHesber"/>
        <w:rPr>
          <w:rtl/>
        </w:rPr>
      </w:pPr>
      <w:r w:rsidRPr="0027450A">
        <w:rPr>
          <w:rFonts w:hint="cs"/>
          <w:rtl/>
        </w:rPr>
        <w:t>דברי הסבר</w:t>
      </w:r>
    </w:p>
    <w:p w14:paraId="7143F0C5" w14:textId="77777777" w:rsidR="00FF6474" w:rsidRDefault="00FF6474" w:rsidP="00FF6474">
      <w:pPr>
        <w:pStyle w:val="Hesber"/>
        <w:rPr>
          <w:rtl/>
        </w:rPr>
      </w:pPr>
      <w:r>
        <w:rPr>
          <w:rtl/>
        </w:rPr>
        <w:t>בחודש דצמבר 2019 הניחה "הוועדה הבין-משרדית לבחינת הטיפול בנפגעי עבירות מין בהליך הפלילי", בראשות כב' השופטת דבורה ברלינר (להלן: "דו"ח ועדת ברלינר"), את הדו"ח המסכם את עבודתה שנמשכה כמעט שנתיים.  הוועדה ערכה בחינה וליבון מעמיקים של כלל ההיבטים, הקשיים והמורכבויות, הכרוכים בהליך הפלילי בכל הנוגע לטיפול בנפגעי ונפגעות עבירות המין ולחלקם של נפגעי ונפגעות עבירה אלה בו. מדובר באחד המסמכים המקיפים והמשמעותיים ביותר שנכתבו בנושא, והוא כולל המלצות חשובות ומשמעותיות, המתאימות היבטים שונים בהליך הפלילי לתובנות המצטברות והולכות בנושא נפגעי ונפגעות עבירות המין. זאת מתוך הכרה בפגיעה שנגרמת לנפגעי ונפגעות העבירה כתוצאה מן ההתמודדות עם ההליך הפלילי, ומתוך החשיבות הרבה שרואה החברה במתן מענה ראוי לצרכי הנפגעות והנפגעים, בשים לב לרגישות המתחייבת כלפי אוכלוסייה זו ולא פחות מכך, כדי להפוך את ההליך המשפטי למועיל ואפקטיבי יותר.</w:t>
      </w:r>
    </w:p>
    <w:p w14:paraId="5678B877" w14:textId="77777777" w:rsidR="00FF6474" w:rsidRDefault="00FF6474" w:rsidP="00FF6474">
      <w:pPr>
        <w:pStyle w:val="Hesber"/>
        <w:rPr>
          <w:rtl/>
        </w:rPr>
      </w:pPr>
      <w:r>
        <w:rPr>
          <w:rtl/>
        </w:rPr>
        <w:t xml:space="preserve">עבירות המין הוכרו בדין, הן בדברי חקיקה והן בפסיקה, כקבוצת עבירות נפרדת, בין היתר בשל היקפם החריג והייחודי של הקשיים אותם חוות וחווים נפגעי ונפגעות העבירה במהלך ההליך הפלילי בעניינם. כפי שציינה הוועדה בדו"ח המסכם, להליך הפלילי מאפיינים שונים, אשר כל אחד לחוד, וכולם גם יחד, עלולים להקשות על הנפגע לצלוח אותו ללא פגיעה נפשית נוספת. מאפייני הפגיעה עשויים לגרום לעתים קרובות נזקים קשים וארוכי טווח. </w:t>
      </w:r>
    </w:p>
    <w:p w14:paraId="704993A8" w14:textId="77777777" w:rsidR="00FF6474" w:rsidRDefault="00FF6474" w:rsidP="00FF6474">
      <w:pPr>
        <w:pStyle w:val="Hesber"/>
        <w:rPr>
          <w:rtl/>
        </w:rPr>
      </w:pPr>
      <w:r>
        <w:rPr>
          <w:rtl/>
        </w:rPr>
        <w:t xml:space="preserve">לאחר דיונים מעמיקים, מצאה הוועדה להמליץ על הרחבת זכויותיהם של נפגעות ונפגעי עבירות מין </w:t>
      </w:r>
      <w:r>
        <w:rPr>
          <w:rtl/>
        </w:rPr>
        <w:lastRenderedPageBreak/>
        <w:t>בשורה של היבטים, ובהם, הרחבת היקף היידוע על הליכים משפטיים והרחבת היקף זכותם וזכותן של נפגעי ונפגעות העבירה להביע עמדה ביחס להחלטות שונות העומדות להכריע את גורל התיק, נשוא תלונתם. בנוסף,  זווית ראיה של הנפגעות והנפגעים רלוונטית גם ליכולת הניהול האפקטיבי של ההליך.</w:t>
      </w:r>
    </w:p>
    <w:p w14:paraId="51B2797C" w14:textId="423974AB" w:rsidR="00FF6474" w:rsidRDefault="00FF6474" w:rsidP="00FF6474">
      <w:pPr>
        <w:pStyle w:val="Hesber"/>
        <w:rPr>
          <w:rtl/>
        </w:rPr>
      </w:pPr>
      <w:r>
        <w:rPr>
          <w:rtl/>
        </w:rPr>
        <w:t>יצוין, כי זכוי</w:t>
      </w:r>
      <w:r w:rsidR="00C1670A">
        <w:rPr>
          <w:rFonts w:hint="cs"/>
          <w:rtl/>
        </w:rPr>
        <w:t>ו</w:t>
      </w:r>
      <w:r>
        <w:rPr>
          <w:rtl/>
        </w:rPr>
        <w:t xml:space="preserve">תיהם וזכויותיהן של נפגעי ונפגעות העבירה ליידוע ולהבעת עמדה הוכרו כבר בעת חקיקתו של חוק זכויות נפגעי עבירה, ומטרתו לתת מענה לקשיים המשמעותיים שחוות וחווים הנפגעות והנפגעים במהלך ההליך הפלילי, להשיב, ולו במעט, את תחושת השליטה שלהן ושלהם בנעשה, באמצעות עדכונן ועדכונם, ולאפשר לנפגעים ולנפגעות להביע את עמדתם ועמדתן ולהעלות טיעונים ביחס לצמתים משמעותיים בתיק. מטרתה של הצעת חוק זו היא להרחיב את המענה, שכן ישנם צמתים נוספים משמעותיים במסגרת ההליך הפלילי, ויש להוסיף גם צמתים אלה למסגרת הזכות למידע המוקנית לנפגעי ונפגעות העבירה, על מנת ליצור הסדר שלם ומקיף יותר. </w:t>
      </w:r>
    </w:p>
    <w:p w14:paraId="7F6961CB" w14:textId="37F9A1B1" w:rsidR="00E13C27" w:rsidRDefault="00FF6474" w:rsidP="00FF6474">
      <w:pPr>
        <w:pStyle w:val="Hesber"/>
        <w:rPr>
          <w:rtl/>
        </w:rPr>
      </w:pPr>
      <w:r>
        <w:rPr>
          <w:rtl/>
        </w:rPr>
        <w:t>הצעת חוק זו נכתבה בסיוע איגוד מרכזי הסיוע לנפגעות ולנפגעי תקיפה מינית בישראל.</w:t>
      </w:r>
    </w:p>
    <w:p w14:paraId="3A8FC15B" w14:textId="31EF7357" w:rsidR="00FF6474" w:rsidRDefault="00FF6474" w:rsidP="00FF6474">
      <w:pPr>
        <w:pStyle w:val="Hesber"/>
        <w:rPr>
          <w:rtl/>
        </w:rPr>
      </w:pPr>
      <w:r w:rsidRPr="00FF6474">
        <w:rPr>
          <w:rtl/>
        </w:rPr>
        <w:t xml:space="preserve">הצעת חוק זהה הונחה על שולחן הכנסת העשרים וארבע על ידי חברת הכנסת מרב מיכאלי וקבוצת חברי </w:t>
      </w:r>
      <w:r w:rsidR="00030007">
        <w:rPr>
          <w:rFonts w:hint="cs"/>
          <w:rtl/>
        </w:rPr>
        <w:t>ה</w:t>
      </w:r>
      <w:r w:rsidRPr="00FF6474">
        <w:rPr>
          <w:rtl/>
        </w:rPr>
        <w:t>כנסת (פ/1000/24)</w:t>
      </w:r>
      <w:r>
        <w:rPr>
          <w:rFonts w:hint="cs"/>
          <w:rtl/>
        </w:rPr>
        <w:t>.</w:t>
      </w:r>
    </w:p>
    <w:p w14:paraId="3F8D61F7" w14:textId="085E8835" w:rsidR="00030007" w:rsidRDefault="00030007" w:rsidP="00FF6474">
      <w:pPr>
        <w:pStyle w:val="Hesber"/>
        <w:rPr>
          <w:rtl/>
        </w:rPr>
      </w:pPr>
      <w:r>
        <w:rPr>
          <w:rFonts w:hint="cs"/>
          <w:rtl/>
        </w:rPr>
        <w:t xml:space="preserve">הצעת החוק זהה לפ/1000/24 ולפיכך לא נבדקה מחדש על ידי הלשכה המשפטית של הכנסת. </w:t>
      </w:r>
    </w:p>
    <w:p w14:paraId="774A06AB" w14:textId="77777777" w:rsidR="00C1670A" w:rsidRDefault="00C1670A">
      <w:pPr>
        <w:jc w:val="left"/>
        <w:rPr>
          <w:rFonts w:eastAsia="David"/>
          <w:sz w:val="26"/>
          <w:szCs w:val="26"/>
          <w:rtl/>
        </w:rPr>
      </w:pPr>
      <w:bookmarkStart w:id="9" w:name="selectedDocDateB"/>
      <w:bookmarkEnd w:id="9"/>
    </w:p>
    <w:p w14:paraId="0909A3DA" w14:textId="77777777" w:rsidR="0078560D" w:rsidRDefault="00C1670A">
      <w:pPr>
        <w:jc w:val="left"/>
      </w:pPr>
      <w:r>
        <w:rPr>
          <w:rFonts w:eastAsia="David" w:hint="cs"/>
          <w:sz w:val="26"/>
          <w:szCs w:val="26"/>
          <w:rtl/>
        </w:rPr>
        <w:t>--------------------------------</w:t>
      </w:r>
    </w:p>
    <w:p w14:paraId="51DFA9C0" w14:textId="77777777" w:rsidR="0078560D" w:rsidRDefault="00C1670A">
      <w:pPr>
        <w:jc w:val="left"/>
      </w:pPr>
      <w:r>
        <w:rPr>
          <w:rFonts w:eastAsia="David" w:hint="cs"/>
          <w:sz w:val="26"/>
          <w:szCs w:val="26"/>
          <w:rtl/>
        </w:rPr>
        <w:t>הוגשה ליו"ר הכנסת והסגנים</w:t>
      </w:r>
    </w:p>
    <w:p w14:paraId="0C801680" w14:textId="77777777" w:rsidR="0078560D" w:rsidRDefault="00C1670A">
      <w:pPr>
        <w:jc w:val="left"/>
      </w:pPr>
      <w:r>
        <w:rPr>
          <w:rFonts w:eastAsia="David" w:hint="cs"/>
          <w:sz w:val="26"/>
          <w:szCs w:val="26"/>
          <w:rtl/>
        </w:rPr>
        <w:t>והונחה על שולחן הכנסת ביום</w:t>
      </w:r>
    </w:p>
    <w:p w14:paraId="28EBE79F" w14:textId="77777777" w:rsidR="0078560D" w:rsidRDefault="00C1670A">
      <w:pPr>
        <w:jc w:val="left"/>
      </w:pPr>
      <w:r>
        <w:rPr>
          <w:rFonts w:eastAsia="David" w:hint="cs"/>
          <w:sz w:val="26"/>
          <w:szCs w:val="26"/>
          <w:rtl/>
        </w:rPr>
        <w:t xml:space="preserve">כ"ט בשבט התשפ"ג (20.02.2023) </w:t>
      </w:r>
    </w:p>
    <w:p w14:paraId="77D6DDD8" w14:textId="77777777" w:rsidR="0078560D" w:rsidRDefault="0078560D">
      <w:pPr>
        <w:spacing w:line="276" w:lineRule="auto"/>
        <w:jc w:val="left"/>
      </w:pPr>
    </w:p>
    <w:sectPr w:rsidR="0078560D" w:rsidSect="004D6740">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4D6740">
      <w:rPr>
        <w:rStyle w:val="ab"/>
        <w:noProof/>
        <w:rtl/>
      </w:rPr>
      <w:t>3</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4D6740">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3F27AAFF" w14:textId="77777777" w:rsidR="00B42432" w:rsidRDefault="00B42432" w:rsidP="00B42432">
      <w:pPr>
        <w:pStyle w:val="a4"/>
      </w:pPr>
      <w:r>
        <w:rPr>
          <w:rStyle w:val="a6"/>
        </w:rPr>
        <w:footnoteRef/>
      </w:r>
      <w:r>
        <w:rPr>
          <w:rtl/>
        </w:rPr>
        <w:t xml:space="preserve"> </w:t>
      </w:r>
      <w:r>
        <w:rPr>
          <w:rFonts w:hint="cs"/>
          <w:rtl/>
        </w:rPr>
        <w:t>ס"ח התשס"א, עמ' 183.</w:t>
      </w:r>
    </w:p>
  </w:footnote>
  <w:footnote w:id="3">
    <w:p w14:paraId="6FD7BE18" w14:textId="77777777" w:rsidR="00B42432" w:rsidRDefault="00B42432" w:rsidP="00B42432">
      <w:pPr>
        <w:pStyle w:val="a4"/>
      </w:pPr>
      <w:r>
        <w:rPr>
          <w:rStyle w:val="a6"/>
        </w:rPr>
        <w:footnoteRef/>
      </w:r>
      <w:r>
        <w:rPr>
          <w:rtl/>
        </w:rPr>
        <w:t xml:space="preserve"> </w:t>
      </w:r>
      <w:r>
        <w:rPr>
          <w:rFonts w:hint="cs"/>
          <w:rtl/>
        </w:rPr>
        <w:t>ס"ח התשס"ה, עמ' 6.</w:t>
      </w:r>
    </w:p>
  </w:footnote>
  <w:footnote w:id="4">
    <w:p w14:paraId="42A4872B" w14:textId="77777777" w:rsidR="00B42432" w:rsidRDefault="00B42432" w:rsidP="00B42432">
      <w:pPr>
        <w:pStyle w:val="a4"/>
      </w:pPr>
      <w:r>
        <w:rPr>
          <w:rStyle w:val="a6"/>
        </w:rPr>
        <w:footnoteRef/>
      </w:r>
      <w:r>
        <w:rPr>
          <w:rtl/>
        </w:rPr>
        <w:t xml:space="preserve"> </w:t>
      </w:r>
      <w:r>
        <w:rPr>
          <w:rFonts w:hint="cs"/>
          <w:rtl/>
        </w:rPr>
        <w:t>ס"ח התשל"ב, עמ' 95.</w:t>
      </w:r>
    </w:p>
  </w:footnote>
  <w:footnote w:id="5">
    <w:p w14:paraId="3CE25E8E" w14:textId="77777777" w:rsidR="00B42432" w:rsidRDefault="00B42432" w:rsidP="00B42432">
      <w:pPr>
        <w:pStyle w:val="a4"/>
      </w:pPr>
      <w:r>
        <w:rPr>
          <w:rStyle w:val="a6"/>
        </w:rPr>
        <w:footnoteRef/>
      </w:r>
      <w:r>
        <w:rPr>
          <w:rtl/>
        </w:rPr>
        <w:t xml:space="preserve"> </w:t>
      </w:r>
      <w:r>
        <w:rPr>
          <w:rFonts w:hint="cs"/>
          <w:rtl/>
        </w:rPr>
        <w:t>ס"ח התשל"א, עמ' 134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3000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1A85"/>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D6740"/>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560D"/>
    <w:rsid w:val="0078664F"/>
    <w:rsid w:val="007A27CE"/>
    <w:rsid w:val="007C3FA6"/>
    <w:rsid w:val="007D585A"/>
    <w:rsid w:val="007D5A12"/>
    <w:rsid w:val="007E59F9"/>
    <w:rsid w:val="008037BC"/>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42432"/>
    <w:rsid w:val="00B733A7"/>
    <w:rsid w:val="00B75C91"/>
    <w:rsid w:val="00B975AD"/>
    <w:rsid w:val="00BC45FB"/>
    <w:rsid w:val="00BF148D"/>
    <w:rsid w:val="00C1670A"/>
    <w:rsid w:val="00C23B1A"/>
    <w:rsid w:val="00C310EB"/>
    <w:rsid w:val="00C9176A"/>
    <w:rsid w:val="00CF1AA2"/>
    <w:rsid w:val="00D03AD3"/>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 w:val="00FF647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4AE4DBBB-8BAA-4257-8524-CD5C979B0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6740"/>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4D6740"/>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4D6740"/>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4D6740"/>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4D6740"/>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4D6740"/>
    <w:pPr>
      <w:spacing w:line="259" w:lineRule="auto"/>
      <w:outlineLvl w:val="4"/>
    </w:pPr>
    <w:rPr>
      <w:color w:val="000000" w:themeColor="text1"/>
    </w:rPr>
  </w:style>
  <w:style w:type="character" w:default="1" w:styleId="a0">
    <w:name w:val="Default Paragraph Font"/>
    <w:uiPriority w:val="1"/>
    <w:semiHidden/>
    <w:unhideWhenUsed/>
    <w:rsid w:val="004D674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4D6740"/>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4D6740"/>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4D6740"/>
    <w:rPr>
      <w:sz w:val="36"/>
      <w:szCs w:val="52"/>
    </w:rPr>
  </w:style>
  <w:style w:type="paragraph" w:customStyle="1" w:styleId="Cover3-Haknesset">
    <w:name w:val="Cover 3-Haknesset"/>
    <w:basedOn w:val="Cover1-Reshumot"/>
    <w:rsid w:val="004D6740"/>
    <w:rPr>
      <w:b/>
      <w:bCs/>
      <w:spacing w:val="60"/>
    </w:rPr>
  </w:style>
  <w:style w:type="paragraph" w:customStyle="1" w:styleId="Cover4-Date">
    <w:name w:val="Cover 4-Date"/>
    <w:basedOn w:val="a"/>
    <w:rsid w:val="004D6740"/>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4D6740"/>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4D6740"/>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4D6740"/>
    <w:pPr>
      <w:spacing w:before="120" w:after="120"/>
    </w:pPr>
    <w:rPr>
      <w:color w:val="FF0000"/>
      <w:w w:val="80"/>
    </w:rPr>
  </w:style>
  <w:style w:type="paragraph" w:styleId="a3">
    <w:name w:val="endnote text"/>
    <w:basedOn w:val="a"/>
    <w:semiHidden/>
    <w:rsid w:val="004D6740"/>
    <w:pPr>
      <w:ind w:left="227" w:hanging="227"/>
    </w:pPr>
    <w:rPr>
      <w:sz w:val="14"/>
      <w:szCs w:val="22"/>
    </w:rPr>
  </w:style>
  <w:style w:type="paragraph" w:customStyle="1" w:styleId="TableText">
    <w:name w:val="Table Text"/>
    <w:basedOn w:val="a"/>
    <w:rsid w:val="004D6740"/>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4D6740"/>
    <w:pPr>
      <w:outlineLvl w:val="2"/>
    </w:pPr>
  </w:style>
  <w:style w:type="paragraph" w:customStyle="1" w:styleId="TableBlock">
    <w:name w:val="Table Block"/>
    <w:basedOn w:val="TableText"/>
    <w:rsid w:val="004D6740"/>
    <w:pPr>
      <w:jc w:val="both"/>
    </w:pPr>
  </w:style>
  <w:style w:type="paragraph" w:customStyle="1" w:styleId="TableHead">
    <w:name w:val="Table Head"/>
    <w:basedOn w:val="TableText"/>
    <w:rsid w:val="004D6740"/>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4D6740"/>
    <w:pPr>
      <w:outlineLvl w:val="9"/>
    </w:pPr>
  </w:style>
  <w:style w:type="paragraph" w:customStyle="1" w:styleId="Hesber">
    <w:name w:val="Hesber"/>
    <w:basedOn w:val="a"/>
    <w:rsid w:val="004D6740"/>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4D6740"/>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4D6740"/>
    <w:rPr>
      <w:vertAlign w:val="superscript"/>
    </w:rPr>
  </w:style>
  <w:style w:type="paragraph" w:customStyle="1" w:styleId="HesberHeading">
    <w:name w:val="Hesber Heading"/>
    <w:basedOn w:val="Hesber"/>
    <w:rsid w:val="004D6740"/>
    <w:pPr>
      <w:tabs>
        <w:tab w:val="left" w:pos="624"/>
        <w:tab w:val="left" w:pos="1247"/>
      </w:tabs>
    </w:pPr>
    <w:rPr>
      <w:b/>
      <w:bCs/>
    </w:rPr>
  </w:style>
  <w:style w:type="paragraph" w:customStyle="1" w:styleId="HesberWriters">
    <w:name w:val="Hesber Writers"/>
    <w:basedOn w:val="Hesber"/>
    <w:rsid w:val="004D6740"/>
    <w:pPr>
      <w:spacing w:before="120" w:after="120"/>
      <w:ind w:left="1418"/>
      <w:jc w:val="right"/>
    </w:pPr>
    <w:rPr>
      <w:b/>
      <w:bCs/>
    </w:rPr>
  </w:style>
  <w:style w:type="paragraph" w:customStyle="1" w:styleId="Hesber1st">
    <w:name w:val="Hesber 1st"/>
    <w:basedOn w:val="Hesber"/>
    <w:rsid w:val="004D6740"/>
    <w:pPr>
      <w:tabs>
        <w:tab w:val="left" w:pos="680"/>
        <w:tab w:val="left" w:pos="1020"/>
      </w:tabs>
      <w:ind w:firstLine="0"/>
    </w:pPr>
  </w:style>
  <w:style w:type="character" w:styleId="a7">
    <w:name w:val="endnote reference"/>
    <w:basedOn w:val="a0"/>
    <w:semiHidden/>
    <w:rsid w:val="004D6740"/>
    <w:rPr>
      <w:vertAlign w:val="superscript"/>
    </w:rPr>
  </w:style>
  <w:style w:type="paragraph" w:customStyle="1" w:styleId="TableBlockOutdent">
    <w:name w:val="Table BlockOutdent"/>
    <w:basedOn w:val="TableBlock"/>
    <w:rsid w:val="004D6740"/>
    <w:pPr>
      <w:ind w:left="624" w:hanging="624"/>
    </w:pPr>
  </w:style>
  <w:style w:type="paragraph" w:styleId="a8">
    <w:name w:val="header"/>
    <w:basedOn w:val="a"/>
    <w:rsid w:val="004D6740"/>
    <w:pPr>
      <w:tabs>
        <w:tab w:val="center" w:pos="4153"/>
        <w:tab w:val="right" w:pos="8306"/>
      </w:tabs>
    </w:pPr>
  </w:style>
  <w:style w:type="paragraph" w:styleId="a9">
    <w:name w:val="footer"/>
    <w:basedOn w:val="a"/>
    <w:rsid w:val="004D6740"/>
    <w:pPr>
      <w:tabs>
        <w:tab w:val="center" w:pos="4153"/>
        <w:tab w:val="right" w:pos="8306"/>
      </w:tabs>
    </w:pPr>
  </w:style>
  <w:style w:type="paragraph" w:customStyle="1" w:styleId="HeadDivreiHesber">
    <w:name w:val="Head DivreiHesber"/>
    <w:basedOn w:val="a"/>
    <w:rsid w:val="004D6740"/>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4D6740"/>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4D6740"/>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10">
    <w:name w:val="כותרת 1 תו"/>
    <w:basedOn w:val="a0"/>
    <w:link w:val="1"/>
    <w:uiPriority w:val="9"/>
    <w:rsid w:val="004D6740"/>
    <w:rPr>
      <w:rFonts w:asciiTheme="majorHAnsi" w:eastAsiaTheme="majorEastAsia" w:hAnsiTheme="majorHAnsi" w:cs="David"/>
      <w:bCs/>
      <w:sz w:val="32"/>
      <w:szCs w:val="36"/>
    </w:rPr>
  </w:style>
  <w:style w:type="character" w:customStyle="1" w:styleId="20">
    <w:name w:val="כותרת 2 תו"/>
    <w:basedOn w:val="a0"/>
    <w:link w:val="2"/>
    <w:rsid w:val="004D6740"/>
    <w:rPr>
      <w:rFonts w:asciiTheme="majorHAnsi" w:eastAsiaTheme="majorEastAsia" w:hAnsiTheme="majorHAnsi" w:cs="David"/>
      <w:bCs/>
      <w:sz w:val="26"/>
      <w:szCs w:val="36"/>
      <w:u w:val="single"/>
    </w:rPr>
  </w:style>
  <w:style w:type="character" w:customStyle="1" w:styleId="30">
    <w:name w:val="כותרת 3 תו"/>
    <w:basedOn w:val="a0"/>
    <w:link w:val="3"/>
    <w:rsid w:val="004D6740"/>
    <w:rPr>
      <w:rFonts w:asciiTheme="majorHAnsi" w:eastAsiaTheme="majorEastAsia" w:hAnsiTheme="majorHAnsi" w:cs="David"/>
      <w:sz w:val="24"/>
      <w:szCs w:val="28"/>
      <w:u w:val="double"/>
    </w:rPr>
  </w:style>
  <w:style w:type="character" w:customStyle="1" w:styleId="40">
    <w:name w:val="כותרת 4 תו"/>
    <w:basedOn w:val="a0"/>
    <w:link w:val="4"/>
    <w:uiPriority w:val="9"/>
    <w:rsid w:val="004D6740"/>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4D6740"/>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4D6740"/>
    <w:pPr>
      <w:widowControl/>
      <w:spacing w:before="120" w:after="120"/>
      <w:outlineLvl w:val="9"/>
    </w:pPr>
    <w:rPr>
      <w:rtl/>
      <w:cs/>
    </w:rPr>
  </w:style>
  <w:style w:type="paragraph" w:styleId="TOC1">
    <w:name w:val="toc 1"/>
    <w:basedOn w:val="a"/>
    <w:next w:val="a"/>
    <w:autoRedefine/>
    <w:uiPriority w:val="39"/>
    <w:unhideWhenUsed/>
    <w:rsid w:val="004D6740"/>
    <w:pPr>
      <w:tabs>
        <w:tab w:val="right" w:leader="dot" w:pos="9629"/>
      </w:tabs>
      <w:spacing w:after="100"/>
    </w:pPr>
    <w:rPr>
      <w:bCs/>
      <w:szCs w:val="22"/>
    </w:rPr>
  </w:style>
  <w:style w:type="paragraph" w:styleId="TOC2">
    <w:name w:val="toc 2"/>
    <w:basedOn w:val="a"/>
    <w:next w:val="a"/>
    <w:uiPriority w:val="39"/>
    <w:unhideWhenUsed/>
    <w:rsid w:val="004D6740"/>
    <w:pPr>
      <w:tabs>
        <w:tab w:val="right" w:leader="dot" w:pos="9628"/>
      </w:tabs>
      <w:spacing w:after="100"/>
    </w:pPr>
    <w:rPr>
      <w:szCs w:val="22"/>
    </w:rPr>
  </w:style>
  <w:style w:type="character" w:styleId="Hyperlink">
    <w:name w:val="Hyperlink"/>
    <w:basedOn w:val="a0"/>
    <w:uiPriority w:val="99"/>
    <w:unhideWhenUsed/>
    <w:rsid w:val="004D6740"/>
    <w:rPr>
      <w:color w:val="0000FF" w:themeColor="hyperlink"/>
      <w:u w:val="single"/>
    </w:rPr>
  </w:style>
  <w:style w:type="paragraph" w:styleId="TOC3">
    <w:name w:val="toc 3"/>
    <w:basedOn w:val="a"/>
    <w:next w:val="a"/>
    <w:uiPriority w:val="39"/>
    <w:unhideWhenUsed/>
    <w:rsid w:val="004D6740"/>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4D6740"/>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4D6740"/>
    <w:pPr>
      <w:tabs>
        <w:tab w:val="right" w:leader="dot" w:pos="9628"/>
      </w:tabs>
      <w:spacing w:after="100"/>
      <w:ind w:left="567"/>
    </w:pPr>
    <w:rPr>
      <w:szCs w:val="22"/>
    </w:rPr>
  </w:style>
  <w:style w:type="paragraph" w:styleId="TOC6">
    <w:name w:val="toc 6"/>
    <w:basedOn w:val="a"/>
    <w:next w:val="a"/>
    <w:autoRedefine/>
    <w:semiHidden/>
    <w:unhideWhenUsed/>
    <w:rsid w:val="004D6740"/>
    <w:pPr>
      <w:spacing w:after="100"/>
      <w:ind w:left="850"/>
    </w:pPr>
  </w:style>
  <w:style w:type="paragraph" w:styleId="TOC7">
    <w:name w:val="toc 7"/>
    <w:basedOn w:val="a"/>
    <w:next w:val="a"/>
    <w:autoRedefine/>
    <w:semiHidden/>
    <w:unhideWhenUsed/>
    <w:rsid w:val="004D6740"/>
    <w:pPr>
      <w:spacing w:after="100"/>
      <w:ind w:left="1020"/>
    </w:pPr>
  </w:style>
  <w:style w:type="paragraph" w:styleId="TOC8">
    <w:name w:val="toc 8"/>
    <w:basedOn w:val="a"/>
    <w:next w:val="a"/>
    <w:autoRedefine/>
    <w:semiHidden/>
    <w:unhideWhenUsed/>
    <w:rsid w:val="004D6740"/>
    <w:pPr>
      <w:spacing w:after="100"/>
      <w:ind w:left="1190"/>
    </w:pPr>
  </w:style>
  <w:style w:type="paragraph" w:styleId="TOC9">
    <w:name w:val="toc 9"/>
    <w:basedOn w:val="a"/>
    <w:next w:val="a"/>
    <w:autoRedefine/>
    <w:semiHidden/>
    <w:unhideWhenUsed/>
    <w:rsid w:val="004D6740"/>
    <w:pPr>
      <w:spacing w:after="100"/>
      <w:ind w:left="1360"/>
    </w:pPr>
  </w:style>
  <w:style w:type="paragraph" w:customStyle="1" w:styleId="TableHead2">
    <w:name w:val="Table Head2"/>
    <w:basedOn w:val="TableHead"/>
    <w:qFormat/>
    <w:rsid w:val="004D6740"/>
    <w:pPr>
      <w:outlineLvl w:val="9"/>
    </w:pPr>
  </w:style>
  <w:style w:type="paragraph" w:customStyle="1" w:styleId="TableSideHeading2">
    <w:name w:val="Table SideHeading2"/>
    <w:basedOn w:val="TableSideHeading"/>
    <w:autoRedefine/>
    <w:qFormat/>
    <w:rsid w:val="004D6740"/>
    <w:pPr>
      <w:keepLines w:val="0"/>
      <w:outlineLvl w:val="9"/>
    </w:pPr>
  </w:style>
  <w:style w:type="paragraph" w:customStyle="1" w:styleId="0">
    <w:name w:val="סגנון שורה ראשונה:  0  ס''מ"/>
    <w:basedOn w:val="2"/>
    <w:rsid w:val="004D6740"/>
    <w:rPr>
      <w:rFonts w:eastAsia="Times New Roman"/>
    </w:rPr>
  </w:style>
  <w:style w:type="paragraph" w:styleId="af">
    <w:name w:val="List Paragraph"/>
    <w:basedOn w:val="a"/>
    <w:uiPriority w:val="34"/>
    <w:qFormat/>
    <w:rsid w:val="004D6740"/>
    <w:pPr>
      <w:widowControl/>
      <w:spacing w:line="259" w:lineRule="auto"/>
    </w:pPr>
    <w:rPr>
      <w:rFonts w:asciiTheme="minorHAnsi" w:hAnsiTheme="minorHAnsi"/>
      <w:sz w:val="22"/>
    </w:rPr>
  </w:style>
  <w:style w:type="table" w:styleId="af0">
    <w:name w:val="Table Grid"/>
    <w:basedOn w:val="a1"/>
    <w:rsid w:val="004D6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4D674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4D674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4D6740"/>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4D6740"/>
    <w:tblPr/>
    <w:tblStylePr w:type="firstCol">
      <w:pPr>
        <w:keepNext w:val="0"/>
        <w:keepLines/>
        <w:pageBreakBefore w:val="0"/>
        <w:widowControl w:val="0"/>
        <w:suppressLineNumbers w:val="0"/>
        <w:suppressAutoHyphens w:val="0"/>
        <w:wordWrap/>
      </w:pPr>
    </w:tblStylePr>
  </w:style>
  <w:style w:type="character" w:customStyle="1" w:styleId="a5">
    <w:name w:val="טקסט הערת שוליים תו"/>
    <w:basedOn w:val="a0"/>
    <w:link w:val="a4"/>
    <w:semiHidden/>
    <w:rsid w:val="00B42432"/>
    <w:rPr>
      <w:rFonts w:ascii="Arial" w:eastAsia="Arial Unicode MS" w:hAnsi="Arial" w:cs="David"/>
      <w:snapToGrid w:val="0"/>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4AFE3-9455-419C-8851-785A55F44517}">
  <ds:schemaRefs>
    <ds:schemaRef ds:uri="http://schemas.openxmlformats.org/package/2006/metadata/core-properties"/>
    <ds:schemaRef ds:uri="http://purl.org/dc/dcmitype/"/>
    <ds:schemaRef ds:uri="http://schemas.microsoft.com/office/infopath/2007/PartnerControls"/>
    <ds:schemaRef ds:uri="http://purl.org/dc/terms/"/>
    <ds:schemaRef ds:uri="http://schemas.microsoft.com/office/2006/documentManagement/types"/>
    <ds:schemaRef ds:uri="http://purl.org/dc/elements/1.1/"/>
    <ds:schemaRef ds:uri="290d5b49-c690-4c6f-bbb9-1e50dab33ee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E6DCBE4-CDD2-40B7-AE5C-3EF7571C9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FD51D0-DAB7-4B5B-B270-485791EC2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647</Words>
  <Characters>3689</Characters>
  <Application>Microsoft Office Word</Application>
  <DocSecurity>0</DocSecurity>
  <Lines>30</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4328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11</cp:revision>
  <cp:lastPrinted>2023-02-14T12:19:00Z</cp:lastPrinted>
  <dcterms:created xsi:type="dcterms:W3CDTF">2015-04-20T09:58:00Z</dcterms:created>
  <dcterms:modified xsi:type="dcterms:W3CDTF">2023-02-14T12:19:00Z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2201251</vt:r8>
  </property>
</Properties>
</file>